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The KOF 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This index measures the interconnectivity of countries using three different criteria: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8"/>
        <w:tblGridChange w:id="0">
          <w:tblGrid>
            <w:gridCol w:w="70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Economic (flow of trade, investment &amp; capital)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Social (diffusion of ideas, information, images &amp; people)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Political (diffusion of government policies)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The KOF index uses many variables for each criterion, and these are individually weighted too. Can you correctly classify them into the three criteria?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ahoma" w:cs="Tahoma" w:eastAsia="Tahoma" w:hAnsi="Tahom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227"/>
        <w:gridCol w:w="3260"/>
        <w:gridCol w:w="3119"/>
        <w:tblGridChange w:id="0">
          <w:tblGrid>
            <w:gridCol w:w="3227"/>
            <w:gridCol w:w="3260"/>
            <w:gridCol w:w="3119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vertAlign w:val="baseline"/>
                <w:rtl w:val="0"/>
              </w:rPr>
              <w:t xml:space="preserve">Internet users per 1,000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Trade (% of GDP)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Foreign Direct Investment (FDI) (% of GDP)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Membership of international organisations and international treaty signatories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Gender equality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Transfers of money, like remittances (% of GDP)    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Income to foreign nationals (expats) (% of GDP)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vertAlign w:val="baseline"/>
                <w:rtl w:val="0"/>
              </w:rPr>
              <w:t xml:space="preserve">International voice traffic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Number of embassies in the 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Taxes on international trade like tariffs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Number of IKEA outlets per capita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Televisions per 1,000 people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vertAlign w:val="baseline"/>
                <w:rtl w:val="0"/>
              </w:rPr>
              <w:t xml:space="preserve">Number of McDonalds restaurants per capita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International tourism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vertAlign w:val="baseline"/>
                <w:rtl w:val="0"/>
              </w:rPr>
              <w:t xml:space="preserve">Participation in the UN Security Council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vertAlign w:val="baseline"/>
                <w:rtl w:val="0"/>
              </w:rPr>
              <w:t xml:space="preserve">International (higher education) students as a % of total population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Restrictions on capital transfers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Foreign population as a % of total population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br w:type="textWrapping"/>
      </w:r>
    </w:p>
    <w:sectPr>
      <w:pgSz w:h="16838" w:w="11906"/>
      <w:pgMar w:bottom="568" w:top="993" w:left="1276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