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A2" w:rsidRDefault="00A24BA2" w:rsidP="00A24BA2">
      <w:pPr>
        <w:jc w:val="center"/>
        <w:rPr>
          <w:b/>
        </w:rPr>
      </w:pPr>
      <w:bookmarkStart w:id="0" w:name="_GoBack"/>
      <w:bookmarkEnd w:id="0"/>
      <w:r>
        <w:rPr>
          <w:b/>
        </w:rPr>
        <w:t>Key Terms: Sovereignty Rights</w:t>
      </w:r>
    </w:p>
    <w:p w:rsidR="00E430CE" w:rsidRDefault="00E430CE" w:rsidP="00E430CE">
      <w:pPr>
        <w:rPr>
          <w:b/>
        </w:rPr>
      </w:pPr>
      <w:r>
        <w:rPr>
          <w:b/>
        </w:rPr>
        <w:t>Match up the statement to the correct definition.</w:t>
      </w:r>
    </w:p>
    <w:p w:rsidR="00B4384E" w:rsidRDefault="00B4384E" w:rsidP="00A24BA2">
      <w:pPr>
        <w:jc w:val="center"/>
        <w:rPr>
          <w:b/>
        </w:rPr>
      </w:pPr>
    </w:p>
    <w:p w:rsidR="00B4384E" w:rsidRDefault="00B4384E" w:rsidP="00A24BA2">
      <w:pPr>
        <w:jc w:val="center"/>
        <w:rPr>
          <w:b/>
        </w:rPr>
      </w:pPr>
    </w:p>
    <w:tbl>
      <w:tblPr>
        <w:tblStyle w:val="TableGrid"/>
        <w:tblW w:w="9085" w:type="dxa"/>
        <w:tblLook w:val="04A0" w:firstRow="1" w:lastRow="0" w:firstColumn="1" w:lastColumn="0" w:noHBand="0" w:noVBand="1"/>
      </w:tblPr>
      <w:tblGrid>
        <w:gridCol w:w="3460"/>
        <w:gridCol w:w="495"/>
        <w:gridCol w:w="5130"/>
      </w:tblGrid>
      <w:tr w:rsidR="00816702" w:rsidTr="00816702">
        <w:trPr>
          <w:trHeight w:val="539"/>
        </w:trPr>
        <w:tc>
          <w:tcPr>
            <w:tcW w:w="3460" w:type="dxa"/>
          </w:tcPr>
          <w:p w:rsidR="00816702" w:rsidRDefault="00816702" w:rsidP="00A24BA2">
            <w:r w:rsidRPr="00EA2368">
              <w:rPr>
                <w:b/>
              </w:rPr>
              <w:t>Key</w:t>
            </w:r>
            <w:r>
              <w:t xml:space="preserve"> </w:t>
            </w:r>
            <w:r w:rsidRPr="00EA2368">
              <w:rPr>
                <w:b/>
              </w:rPr>
              <w:t>word</w:t>
            </w:r>
          </w:p>
        </w:tc>
        <w:tc>
          <w:tcPr>
            <w:tcW w:w="495" w:type="dxa"/>
          </w:tcPr>
          <w:p w:rsidR="00816702" w:rsidRPr="00EA2368" w:rsidRDefault="00816702" w:rsidP="00A24BA2">
            <w:pPr>
              <w:rPr>
                <w:b/>
              </w:rPr>
            </w:pPr>
          </w:p>
        </w:tc>
        <w:tc>
          <w:tcPr>
            <w:tcW w:w="5130" w:type="dxa"/>
          </w:tcPr>
          <w:p w:rsidR="00816702" w:rsidRPr="00EA2368" w:rsidRDefault="00E430CE" w:rsidP="00A24BA2">
            <w:pPr>
              <w:rPr>
                <w:b/>
              </w:rPr>
            </w:pPr>
            <w:r>
              <w:rPr>
                <w:b/>
              </w:rPr>
              <w:t>Definition</w:t>
            </w:r>
          </w:p>
        </w:tc>
      </w:tr>
      <w:tr w:rsidR="00816702" w:rsidTr="00816702">
        <w:trPr>
          <w:trHeight w:val="1307"/>
        </w:trPr>
        <w:tc>
          <w:tcPr>
            <w:tcW w:w="3460" w:type="dxa"/>
          </w:tcPr>
          <w:p w:rsidR="00816702" w:rsidRDefault="00816702" w:rsidP="00A24BA2">
            <w:r>
              <w:t>Baseline</w:t>
            </w:r>
          </w:p>
        </w:tc>
        <w:tc>
          <w:tcPr>
            <w:tcW w:w="495" w:type="dxa"/>
          </w:tcPr>
          <w:p w:rsidR="00816702" w:rsidRDefault="00816702" w:rsidP="00A24BA2"/>
        </w:tc>
        <w:tc>
          <w:tcPr>
            <w:tcW w:w="5130" w:type="dxa"/>
          </w:tcPr>
          <w:p w:rsidR="00120AEE" w:rsidRPr="00120AEE" w:rsidRDefault="00A93E09" w:rsidP="00120AEE">
            <w:pPr>
              <w:divId w:val="2134668902"/>
              <w:rPr>
                <w:rFonts w:eastAsia="Times New Roman" w:cs="Times New Roman"/>
              </w:rPr>
            </w:pPr>
            <w:r>
              <w:rPr>
                <w:rFonts w:eastAsia="Times New Roman" w:cs="Arial"/>
                <w:color w:val="000000"/>
                <w:shd w:val="clear" w:color="auto" w:fill="FFFFFF"/>
              </w:rPr>
              <w:t>Ad</w:t>
            </w:r>
            <w:r w:rsidR="00120AEE" w:rsidRPr="00120AEE">
              <w:rPr>
                <w:rFonts w:eastAsia="Times New Roman" w:cs="Arial"/>
                <w:color w:val="000000"/>
                <w:shd w:val="clear" w:color="auto" w:fill="FFFFFF"/>
              </w:rPr>
              <w:t>jacent to and beyond its territorial sea that extends seaward up to 24 nm from its baselines. </w:t>
            </w:r>
          </w:p>
          <w:p w:rsidR="00816702" w:rsidRPr="00120AEE" w:rsidRDefault="00816702" w:rsidP="00A24BA2"/>
        </w:tc>
      </w:tr>
      <w:tr w:rsidR="00816702" w:rsidTr="00816702">
        <w:trPr>
          <w:trHeight w:val="1307"/>
        </w:trPr>
        <w:tc>
          <w:tcPr>
            <w:tcW w:w="3460" w:type="dxa"/>
          </w:tcPr>
          <w:p w:rsidR="00816702" w:rsidRDefault="00816702" w:rsidP="00A24BA2">
            <w:r>
              <w:t>Internal Waters</w:t>
            </w:r>
          </w:p>
        </w:tc>
        <w:tc>
          <w:tcPr>
            <w:tcW w:w="495" w:type="dxa"/>
          </w:tcPr>
          <w:p w:rsidR="00816702" w:rsidRPr="005128BC" w:rsidRDefault="00816702" w:rsidP="00A24BA2"/>
        </w:tc>
        <w:tc>
          <w:tcPr>
            <w:tcW w:w="5130" w:type="dxa"/>
          </w:tcPr>
          <w:p w:rsidR="005128BC" w:rsidRPr="005128BC" w:rsidRDefault="005128BC" w:rsidP="005128BC">
            <w:pPr>
              <w:divId w:val="1989361530"/>
              <w:rPr>
                <w:rFonts w:eastAsia="Times New Roman" w:cs="Times New Roman"/>
              </w:rPr>
            </w:pPr>
            <w:r w:rsidRPr="00120AEE">
              <w:rPr>
                <w:rFonts w:eastAsia="Times New Roman" w:cs="Arial"/>
                <w:color w:val="000000"/>
                <w:shd w:val="clear" w:color="auto" w:fill="FFFFFF"/>
              </w:rPr>
              <w:t xml:space="preserve">This </w:t>
            </w:r>
            <w:r w:rsidRPr="005128BC">
              <w:rPr>
                <w:rFonts w:eastAsia="Times New Roman" w:cs="Arial"/>
                <w:color w:val="000000"/>
                <w:shd w:val="clear" w:color="auto" w:fill="FFFFFF"/>
              </w:rPr>
              <w:t>is comprised of the seabed and subsoil of the submarine areas that extend beyond its territorial sea throughout the natural prolongation of its land territory to the outer edge of the continental margin, or to a distance of 200 nm from its baselines where the outer edge of the continental margin does not extend up to that distance</w:t>
            </w:r>
            <w:r w:rsidR="001838C3">
              <w:rPr>
                <w:rFonts w:eastAsia="Times New Roman" w:cs="Arial"/>
                <w:color w:val="000000"/>
                <w:shd w:val="clear" w:color="auto" w:fill="FFFFFF"/>
              </w:rPr>
              <w:t>.</w:t>
            </w:r>
          </w:p>
          <w:p w:rsidR="00816702" w:rsidRPr="00120AEE" w:rsidRDefault="00816702" w:rsidP="00A24BA2"/>
        </w:tc>
      </w:tr>
      <w:tr w:rsidR="00816702" w:rsidTr="00816702">
        <w:trPr>
          <w:trHeight w:val="1307"/>
        </w:trPr>
        <w:tc>
          <w:tcPr>
            <w:tcW w:w="3460" w:type="dxa"/>
          </w:tcPr>
          <w:p w:rsidR="00816702" w:rsidRDefault="00816702" w:rsidP="00A24BA2">
            <w:r>
              <w:t>Territorial Sea</w:t>
            </w:r>
          </w:p>
        </w:tc>
        <w:tc>
          <w:tcPr>
            <w:tcW w:w="495" w:type="dxa"/>
          </w:tcPr>
          <w:p w:rsidR="00816702" w:rsidRDefault="00816702" w:rsidP="00A24BA2"/>
        </w:tc>
        <w:tc>
          <w:tcPr>
            <w:tcW w:w="5130" w:type="dxa"/>
          </w:tcPr>
          <w:p w:rsidR="00751DAB" w:rsidRPr="00751DAB" w:rsidRDefault="00317B15" w:rsidP="00751DAB">
            <w:pPr>
              <w:divId w:val="1708218191"/>
              <w:rPr>
                <w:rFonts w:eastAsia="Times New Roman" w:cs="Times New Roman"/>
              </w:rPr>
            </w:pPr>
            <w:r>
              <w:rPr>
                <w:rFonts w:eastAsia="Times New Roman" w:cs="Arial"/>
                <w:color w:val="000000"/>
                <w:shd w:val="clear" w:color="auto" w:fill="FFFFFF"/>
              </w:rPr>
              <w:t xml:space="preserve">Adjacent </w:t>
            </w:r>
            <w:r w:rsidR="00751DAB" w:rsidRPr="00751DAB">
              <w:rPr>
                <w:rFonts w:eastAsia="Times New Roman" w:cs="Arial"/>
                <w:color w:val="000000"/>
                <w:shd w:val="clear" w:color="auto" w:fill="FFFFFF"/>
              </w:rPr>
              <w:t>to its territorial sea that extends seaward up to 200 nm from its baselines</w:t>
            </w:r>
            <w:r w:rsidR="001838C3">
              <w:rPr>
                <w:rFonts w:eastAsia="Times New Roman" w:cs="Arial"/>
                <w:color w:val="000000"/>
                <w:shd w:val="clear" w:color="auto" w:fill="FFFFFF"/>
              </w:rPr>
              <w:t>.</w:t>
            </w:r>
          </w:p>
          <w:p w:rsidR="00816702" w:rsidRPr="00317B15" w:rsidRDefault="00816702" w:rsidP="00A24BA2"/>
        </w:tc>
      </w:tr>
      <w:tr w:rsidR="00816702" w:rsidTr="00816702">
        <w:trPr>
          <w:trHeight w:val="1307"/>
        </w:trPr>
        <w:tc>
          <w:tcPr>
            <w:tcW w:w="3460" w:type="dxa"/>
          </w:tcPr>
          <w:p w:rsidR="00816702" w:rsidRDefault="00816702" w:rsidP="00A24BA2">
            <w:r>
              <w:t>Contiguous Sea</w:t>
            </w:r>
          </w:p>
        </w:tc>
        <w:tc>
          <w:tcPr>
            <w:tcW w:w="495" w:type="dxa"/>
          </w:tcPr>
          <w:p w:rsidR="00816702" w:rsidRDefault="00816702" w:rsidP="00A24BA2"/>
        </w:tc>
        <w:tc>
          <w:tcPr>
            <w:tcW w:w="5130" w:type="dxa"/>
          </w:tcPr>
          <w:p w:rsidR="00CB4208" w:rsidRPr="00CB4208" w:rsidRDefault="00CB4208" w:rsidP="00CB4208">
            <w:pPr>
              <w:divId w:val="806626150"/>
              <w:rPr>
                <w:rFonts w:eastAsia="Times New Roman" w:cs="Times New Roman"/>
              </w:rPr>
            </w:pPr>
            <w:r w:rsidRPr="00CB4208">
              <w:rPr>
                <w:rFonts w:eastAsia="Times New Roman" w:cs="Arial"/>
                <w:color w:val="000000"/>
                <w:shd w:val="clear" w:color="auto" w:fill="FFFFFF"/>
              </w:rPr>
              <w:t xml:space="preserve">Generally speaking, the normal baseline is the low-water line along the coast as marked on large-scale charts officially </w:t>
            </w:r>
            <w:r w:rsidR="00A7441F" w:rsidRPr="00317B15">
              <w:rPr>
                <w:rFonts w:eastAsia="Times New Roman" w:cs="Arial"/>
                <w:color w:val="000000"/>
                <w:shd w:val="clear" w:color="auto" w:fill="FFFFFF"/>
              </w:rPr>
              <w:t>recognised</w:t>
            </w:r>
            <w:r w:rsidRPr="00CB4208">
              <w:rPr>
                <w:rFonts w:eastAsia="Times New Roman" w:cs="Arial"/>
                <w:color w:val="000000"/>
                <w:shd w:val="clear" w:color="auto" w:fill="FFFFFF"/>
              </w:rPr>
              <w:t xml:space="preserve"> by the coastal State.</w:t>
            </w:r>
            <w:r w:rsidRPr="00317B15">
              <w:rPr>
                <w:rFonts w:eastAsia="Times New Roman" w:cs="Arial"/>
                <w:color w:val="000000"/>
                <w:shd w:val="clear" w:color="auto" w:fill="FFFFFF"/>
              </w:rPr>
              <w:t> </w:t>
            </w:r>
          </w:p>
          <w:p w:rsidR="00816702" w:rsidRPr="00317B15" w:rsidRDefault="00816702" w:rsidP="00A24BA2"/>
        </w:tc>
      </w:tr>
      <w:tr w:rsidR="00816702" w:rsidTr="00816702">
        <w:trPr>
          <w:trHeight w:val="1307"/>
        </w:trPr>
        <w:tc>
          <w:tcPr>
            <w:tcW w:w="3460" w:type="dxa"/>
          </w:tcPr>
          <w:p w:rsidR="00816702" w:rsidRDefault="00816702" w:rsidP="00A24BA2">
            <w:r>
              <w:t>Exclusive Economic Zone</w:t>
            </w:r>
          </w:p>
        </w:tc>
        <w:tc>
          <w:tcPr>
            <w:tcW w:w="495" w:type="dxa"/>
          </w:tcPr>
          <w:p w:rsidR="00816702" w:rsidRDefault="00816702" w:rsidP="00A24BA2"/>
        </w:tc>
        <w:tc>
          <w:tcPr>
            <w:tcW w:w="5130" w:type="dxa"/>
          </w:tcPr>
          <w:p w:rsidR="004473CB" w:rsidRPr="004473CB" w:rsidRDefault="00361AE2" w:rsidP="004473CB">
            <w:pPr>
              <w:divId w:val="24988447"/>
              <w:rPr>
                <w:rFonts w:eastAsia="Times New Roman" w:cs="Times New Roman"/>
                <w:color w:val="000000" w:themeColor="text1"/>
              </w:rPr>
            </w:pPr>
            <w:r>
              <w:rPr>
                <w:rFonts w:eastAsia="Times New Roman" w:cs="Arial"/>
                <w:color w:val="000000"/>
                <w:shd w:val="clear" w:color="auto" w:fill="FFFFFF"/>
              </w:rPr>
              <w:t>C</w:t>
            </w:r>
            <w:r w:rsidR="004473CB" w:rsidRPr="004473CB">
              <w:rPr>
                <w:rFonts w:eastAsia="Times New Roman" w:cs="Arial"/>
                <w:color w:val="000000"/>
                <w:shd w:val="clear" w:color="auto" w:fill="FFFFFF"/>
              </w:rPr>
              <w:t xml:space="preserve">omprised of all parts of the sea </w:t>
            </w:r>
            <w:proofErr w:type="gramStart"/>
            <w:r w:rsidR="004473CB" w:rsidRPr="004473CB">
              <w:rPr>
                <w:rFonts w:eastAsia="Times New Roman" w:cs="Arial"/>
                <w:color w:val="000000"/>
                <w:shd w:val="clear" w:color="auto" w:fill="FFFFFF"/>
              </w:rPr>
              <w:t>that are</w:t>
            </w:r>
            <w:proofErr w:type="gramEnd"/>
            <w:r w:rsidR="004473CB" w:rsidRPr="004473CB">
              <w:rPr>
                <w:rFonts w:eastAsia="Times New Roman" w:cs="Arial"/>
                <w:color w:val="000000"/>
                <w:shd w:val="clear" w:color="auto" w:fill="FFFFFF"/>
              </w:rPr>
              <w:t xml:space="preserve"> not included in the exclusive economic zone, in the territorial sea or in the internal waters of a State, or in the </w:t>
            </w:r>
            <w:r w:rsidR="004473CB" w:rsidRPr="004473CB">
              <w:rPr>
                <w:rFonts w:eastAsia="Times New Roman" w:cs="Arial"/>
                <w:bCs/>
                <w:color w:val="000000" w:themeColor="text1"/>
              </w:rPr>
              <w:t>archipelagic waters</w:t>
            </w:r>
            <w:r w:rsidR="004473CB" w:rsidRPr="004473CB">
              <w:rPr>
                <w:rFonts w:eastAsia="Times New Roman" w:cs="Arial"/>
                <w:color w:val="000000" w:themeColor="text1"/>
                <w:shd w:val="clear" w:color="auto" w:fill="FFFFFF"/>
              </w:rPr>
              <w:t> of an archipelagic State.</w:t>
            </w:r>
          </w:p>
          <w:p w:rsidR="00816702" w:rsidRPr="004473CB" w:rsidRDefault="00816702" w:rsidP="00A24BA2"/>
        </w:tc>
      </w:tr>
      <w:tr w:rsidR="00816702" w:rsidTr="00816702">
        <w:trPr>
          <w:trHeight w:val="1307"/>
        </w:trPr>
        <w:tc>
          <w:tcPr>
            <w:tcW w:w="3460" w:type="dxa"/>
          </w:tcPr>
          <w:p w:rsidR="00816702" w:rsidRDefault="00816702" w:rsidP="00A24BA2">
            <w:r>
              <w:t>Continental Shelf</w:t>
            </w:r>
          </w:p>
        </w:tc>
        <w:tc>
          <w:tcPr>
            <w:tcW w:w="495" w:type="dxa"/>
          </w:tcPr>
          <w:p w:rsidR="00816702" w:rsidRDefault="00816702" w:rsidP="00A24BA2"/>
        </w:tc>
        <w:tc>
          <w:tcPr>
            <w:tcW w:w="5130" w:type="dxa"/>
          </w:tcPr>
          <w:p w:rsidR="00D921D4" w:rsidRPr="00D921D4" w:rsidRDefault="00D921D4" w:rsidP="00D921D4">
            <w:pPr>
              <w:divId w:val="88546339"/>
              <w:rPr>
                <w:rFonts w:eastAsia="Times New Roman" w:cs="Times New Roman"/>
              </w:rPr>
            </w:pPr>
            <w:r w:rsidRPr="00D921D4">
              <w:rPr>
                <w:rFonts w:eastAsia="Times New Roman" w:cs="Arial"/>
                <w:color w:val="000000"/>
                <w:shd w:val="clear" w:color="auto" w:fill="FFFFFF"/>
              </w:rPr>
              <w:t>Each coastal State may claim a territorial sea that extends seaward up to 12 nautical miles (nm) from its baselines. The coastal State exercises sovereignty over its territorial sea, the air space above it, and the seabed and subsoil beneath it.</w:t>
            </w:r>
            <w:r w:rsidRPr="004473CB">
              <w:rPr>
                <w:rFonts w:eastAsia="Times New Roman" w:cs="Arial"/>
                <w:color w:val="000000"/>
                <w:shd w:val="clear" w:color="auto" w:fill="FFFFFF"/>
              </w:rPr>
              <w:t> </w:t>
            </w:r>
          </w:p>
          <w:p w:rsidR="00816702" w:rsidRPr="004473CB" w:rsidRDefault="00816702" w:rsidP="00A24BA2"/>
        </w:tc>
      </w:tr>
      <w:tr w:rsidR="00816702" w:rsidTr="00816702">
        <w:trPr>
          <w:trHeight w:val="1307"/>
        </w:trPr>
        <w:tc>
          <w:tcPr>
            <w:tcW w:w="3460" w:type="dxa"/>
          </w:tcPr>
          <w:p w:rsidR="00816702" w:rsidRDefault="00816702" w:rsidP="00A24BA2">
            <w:r>
              <w:t>High Seas</w:t>
            </w:r>
          </w:p>
        </w:tc>
        <w:tc>
          <w:tcPr>
            <w:tcW w:w="495" w:type="dxa"/>
          </w:tcPr>
          <w:p w:rsidR="00816702" w:rsidRDefault="00816702" w:rsidP="00A24BA2"/>
        </w:tc>
        <w:tc>
          <w:tcPr>
            <w:tcW w:w="5130" w:type="dxa"/>
          </w:tcPr>
          <w:p w:rsidR="000A3CF1" w:rsidRPr="000A3CF1" w:rsidRDefault="000A3CF1" w:rsidP="000A3CF1">
            <w:pPr>
              <w:divId w:val="935283177"/>
              <w:rPr>
                <w:rFonts w:eastAsia="Times New Roman" w:cs="Times New Roman"/>
              </w:rPr>
            </w:pPr>
            <w:r>
              <w:rPr>
                <w:rFonts w:eastAsia="Times New Roman" w:cs="Arial"/>
                <w:color w:val="000000"/>
                <w:shd w:val="clear" w:color="auto" w:fill="FFFFFF"/>
              </w:rPr>
              <w:t xml:space="preserve">The </w:t>
            </w:r>
            <w:r w:rsidRPr="000A3CF1">
              <w:rPr>
                <w:rFonts w:eastAsia="Times New Roman" w:cs="Arial"/>
                <w:color w:val="000000"/>
                <w:shd w:val="clear" w:color="auto" w:fill="FFFFFF"/>
              </w:rPr>
              <w:t>waters on the landward side of the baseline from which the breadth of the territorial sea is measured. </w:t>
            </w:r>
          </w:p>
          <w:p w:rsidR="00816702" w:rsidRPr="000A3CF1" w:rsidRDefault="00816702" w:rsidP="00A24BA2"/>
        </w:tc>
      </w:tr>
    </w:tbl>
    <w:p w:rsidR="00A24BA2" w:rsidRPr="00A24BA2" w:rsidRDefault="00A24BA2" w:rsidP="00A24BA2"/>
    <w:sectPr w:rsidR="00A24BA2" w:rsidRPr="00A24B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A2"/>
    <w:rsid w:val="000A3CF1"/>
    <w:rsid w:val="00120AEE"/>
    <w:rsid w:val="00153993"/>
    <w:rsid w:val="001838C3"/>
    <w:rsid w:val="002F25D0"/>
    <w:rsid w:val="00317B15"/>
    <w:rsid w:val="00361AE2"/>
    <w:rsid w:val="004473CB"/>
    <w:rsid w:val="005128BC"/>
    <w:rsid w:val="006550F6"/>
    <w:rsid w:val="00687E1E"/>
    <w:rsid w:val="00751DAB"/>
    <w:rsid w:val="008123EA"/>
    <w:rsid w:val="00816702"/>
    <w:rsid w:val="0088673B"/>
    <w:rsid w:val="00984CAB"/>
    <w:rsid w:val="00A24BA2"/>
    <w:rsid w:val="00A7441F"/>
    <w:rsid w:val="00A93E09"/>
    <w:rsid w:val="00B4384E"/>
    <w:rsid w:val="00BA1BA4"/>
    <w:rsid w:val="00C121EF"/>
    <w:rsid w:val="00CB4208"/>
    <w:rsid w:val="00D921D4"/>
    <w:rsid w:val="00E430CE"/>
    <w:rsid w:val="00EA23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B4208"/>
  </w:style>
  <w:style w:type="character" w:styleId="Hyperlink">
    <w:name w:val="Hyperlink"/>
    <w:basedOn w:val="DefaultParagraphFont"/>
    <w:uiPriority w:val="99"/>
    <w:semiHidden/>
    <w:unhideWhenUsed/>
    <w:rsid w:val="004473CB"/>
    <w:rPr>
      <w:color w:val="0000FF"/>
      <w:u w:val="single"/>
    </w:rPr>
  </w:style>
  <w:style w:type="character" w:styleId="FollowedHyperlink">
    <w:name w:val="FollowedHyperlink"/>
    <w:basedOn w:val="DefaultParagraphFont"/>
    <w:uiPriority w:val="99"/>
    <w:semiHidden/>
    <w:unhideWhenUsed/>
    <w:rsid w:val="004473C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B4208"/>
  </w:style>
  <w:style w:type="character" w:styleId="Hyperlink">
    <w:name w:val="Hyperlink"/>
    <w:basedOn w:val="DefaultParagraphFont"/>
    <w:uiPriority w:val="99"/>
    <w:semiHidden/>
    <w:unhideWhenUsed/>
    <w:rsid w:val="004473CB"/>
    <w:rPr>
      <w:color w:val="0000FF"/>
      <w:u w:val="single"/>
    </w:rPr>
  </w:style>
  <w:style w:type="character" w:styleId="FollowedHyperlink">
    <w:name w:val="FollowedHyperlink"/>
    <w:basedOn w:val="DefaultParagraphFont"/>
    <w:uiPriority w:val="99"/>
    <w:semiHidden/>
    <w:unhideWhenUsed/>
    <w:rsid w:val="004473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447">
      <w:bodyDiv w:val="1"/>
      <w:marLeft w:val="0"/>
      <w:marRight w:val="0"/>
      <w:marTop w:val="0"/>
      <w:marBottom w:val="0"/>
      <w:divBdr>
        <w:top w:val="none" w:sz="0" w:space="0" w:color="auto"/>
        <w:left w:val="none" w:sz="0" w:space="0" w:color="auto"/>
        <w:bottom w:val="none" w:sz="0" w:space="0" w:color="auto"/>
        <w:right w:val="none" w:sz="0" w:space="0" w:color="auto"/>
      </w:divBdr>
    </w:div>
    <w:div w:id="88546339">
      <w:bodyDiv w:val="1"/>
      <w:marLeft w:val="0"/>
      <w:marRight w:val="0"/>
      <w:marTop w:val="0"/>
      <w:marBottom w:val="0"/>
      <w:divBdr>
        <w:top w:val="none" w:sz="0" w:space="0" w:color="auto"/>
        <w:left w:val="none" w:sz="0" w:space="0" w:color="auto"/>
        <w:bottom w:val="none" w:sz="0" w:space="0" w:color="auto"/>
        <w:right w:val="none" w:sz="0" w:space="0" w:color="auto"/>
      </w:divBdr>
    </w:div>
    <w:div w:id="806626150">
      <w:bodyDiv w:val="1"/>
      <w:marLeft w:val="0"/>
      <w:marRight w:val="0"/>
      <w:marTop w:val="0"/>
      <w:marBottom w:val="0"/>
      <w:divBdr>
        <w:top w:val="none" w:sz="0" w:space="0" w:color="auto"/>
        <w:left w:val="none" w:sz="0" w:space="0" w:color="auto"/>
        <w:bottom w:val="none" w:sz="0" w:space="0" w:color="auto"/>
        <w:right w:val="none" w:sz="0" w:space="0" w:color="auto"/>
      </w:divBdr>
    </w:div>
    <w:div w:id="935283177">
      <w:bodyDiv w:val="1"/>
      <w:marLeft w:val="0"/>
      <w:marRight w:val="0"/>
      <w:marTop w:val="0"/>
      <w:marBottom w:val="0"/>
      <w:divBdr>
        <w:top w:val="none" w:sz="0" w:space="0" w:color="auto"/>
        <w:left w:val="none" w:sz="0" w:space="0" w:color="auto"/>
        <w:bottom w:val="none" w:sz="0" w:space="0" w:color="auto"/>
        <w:right w:val="none" w:sz="0" w:space="0" w:color="auto"/>
      </w:divBdr>
    </w:div>
    <w:div w:id="1708218191">
      <w:bodyDiv w:val="1"/>
      <w:marLeft w:val="0"/>
      <w:marRight w:val="0"/>
      <w:marTop w:val="0"/>
      <w:marBottom w:val="0"/>
      <w:divBdr>
        <w:top w:val="none" w:sz="0" w:space="0" w:color="auto"/>
        <w:left w:val="none" w:sz="0" w:space="0" w:color="auto"/>
        <w:bottom w:val="none" w:sz="0" w:space="0" w:color="auto"/>
        <w:right w:val="none" w:sz="0" w:space="0" w:color="auto"/>
      </w:divBdr>
    </w:div>
    <w:div w:id="1989361530">
      <w:bodyDiv w:val="1"/>
      <w:marLeft w:val="0"/>
      <w:marRight w:val="0"/>
      <w:marTop w:val="0"/>
      <w:marBottom w:val="0"/>
      <w:divBdr>
        <w:top w:val="none" w:sz="0" w:space="0" w:color="auto"/>
        <w:left w:val="none" w:sz="0" w:space="0" w:color="auto"/>
        <w:bottom w:val="none" w:sz="0" w:space="0" w:color="auto"/>
        <w:right w:val="none" w:sz="0" w:space="0" w:color="auto"/>
      </w:divBdr>
    </w:div>
    <w:div w:id="21346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Macintosh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ONeillH</dc:creator>
  <cp:keywords/>
  <dc:description/>
  <cp:lastModifiedBy>adorn</cp:lastModifiedBy>
  <cp:revision>2</cp:revision>
  <dcterms:created xsi:type="dcterms:W3CDTF">2018-12-01T07:46:00Z</dcterms:created>
  <dcterms:modified xsi:type="dcterms:W3CDTF">2018-12-01T07:46:00Z</dcterms:modified>
</cp:coreProperties>
</file>